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before="0" w:lineRule="auto"/>
        <w:rPr>
          <w:b w:val="1"/>
          <w:bCs w:val="1"/>
          <w:color w:val="1f1f1f"/>
          <w:sz w:val="34"/>
          <w:szCs w:val="34"/>
        </w:rPr>
      </w:pPr>
      <w:bookmarkStart w:colFirst="0" w:colLast="0" w:name="_wpezkkvfyq91" w:id="0"/>
      <w:bookmarkEnd w:id="0"/>
      <w:r w:rsidDel="00000000" w:rsidR="00000000" w:rsidRPr="00000000">
        <w:rPr>
          <w:b w:val="1"/>
          <w:bCs w:val="1"/>
          <w:color w:val="1f1f1f"/>
          <w:sz w:val="34"/>
          <w:szCs w:val="34"/>
          <w:rtl w:val="0"/>
        </w:rPr>
        <w:t xml:space="preserve">How Much Gold Should You Own? Portfolio Strategies Backed by History</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As gold tests new frontiers in 2026, the question for investors has shifted from "Should I own it?" to "How much is enough?" While the allure of gold often spikes during periods of crisis, history suggests that the most successful investors treat it as a permanent structural component rather than a speculative bet.</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Determining your ideal allocation requires balancing the metal’s role as a "volatility extinguisher" against its lack of yield. Here is how historical models and modern 2026 data suggest you should slice the pie.</w:t>
      </w:r>
    </w:p>
    <w:p w:rsidR="00000000" w:rsidDel="00000000" w:rsidP="00000000" w:rsidRDefault="00000000" w:rsidRPr="00000000" w14:paraId="00000004">
      <w:pPr>
        <w:rPr>
          <w:color w:val="1f1f1f"/>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hm5ptsj9ffii" w:id="1"/>
      <w:bookmarkEnd w:id="1"/>
      <w:r w:rsidDel="00000000" w:rsidR="00000000" w:rsidRPr="00000000">
        <w:rPr>
          <w:b w:val="1"/>
          <w:bCs w:val="1"/>
          <w:color w:val="1f1f1f"/>
          <w:sz w:val="26"/>
          <w:szCs w:val="26"/>
          <w:rtl w:val="0"/>
        </w:rPr>
        <w:t xml:space="preserve">1. The "Safety Net": 5% to 7.5% Allocation</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This is the most common recommendation for the "balanced" investor. It is rooted in </w:t>
      </w:r>
      <w:r w:rsidDel="00000000" w:rsidR="00000000" w:rsidRPr="00000000">
        <w:rPr>
          <w:b w:val="1"/>
          <w:bCs w:val="1"/>
          <w:color w:val="1f1f1f"/>
          <w:rtl w:val="0"/>
        </w:rPr>
        <w:t xml:space="preserve">Ray Dalio’s All-Weather Portfolio</w:t>
      </w:r>
      <w:r w:rsidDel="00000000" w:rsidR="00000000" w:rsidRPr="00000000">
        <w:rPr>
          <w:color w:val="1f1f1f"/>
          <w:rtl w:val="0"/>
        </w:rPr>
        <w:t xml:space="preserve">, which suggests a </w:t>
      </w:r>
      <w:r w:rsidDel="00000000" w:rsidR="00000000" w:rsidRPr="00000000">
        <w:rPr>
          <w:b w:val="1"/>
          <w:bCs w:val="1"/>
          <w:color w:val="1f1f1f"/>
          <w:rtl w:val="0"/>
        </w:rPr>
        <w:t xml:space="preserve">7.5% allocation</w:t>
      </w:r>
      <w:r w:rsidDel="00000000" w:rsidR="00000000" w:rsidRPr="00000000">
        <w:rPr>
          <w:color w:val="1f1f1f"/>
          <w:rtl w:val="0"/>
        </w:rPr>
        <w:t xml:space="preserve"> to gold.</w:t>
      </w:r>
    </w:p>
    <w:p w:rsidR="00000000" w:rsidDel="00000000" w:rsidP="00000000" w:rsidRDefault="00000000" w:rsidRPr="00000000" w14:paraId="00000007">
      <w:pPr>
        <w:numPr>
          <w:ilvl w:val="0"/>
          <w:numId w:val="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bCs w:val="1"/>
          <w:color w:val="1f1f1f"/>
          <w:rtl w:val="0"/>
        </w:rPr>
        <w:t xml:space="preserve">The Logic:</w:t>
      </w:r>
      <w:r w:rsidDel="00000000" w:rsidR="00000000" w:rsidRPr="00000000">
        <w:rPr>
          <w:color w:val="1f1f1f"/>
          <w:rtl w:val="0"/>
        </w:rPr>
        <w:t xml:space="preserve"> This amount is small enough that it won't drag down your returns during a massive stock bull market, but large enough to provide a meaningful cushion when equities tank.</w:t>
      </w:r>
    </w:p>
    <w:p w:rsidR="00000000" w:rsidDel="00000000" w:rsidP="00000000" w:rsidRDefault="00000000" w:rsidRPr="00000000" w14:paraId="00000008">
      <w:pPr>
        <w:numPr>
          <w:ilvl w:val="0"/>
          <w:numId w:val="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bCs w:val="1"/>
          <w:color w:val="1f1f1f"/>
          <w:rtl w:val="0"/>
        </w:rPr>
        <w:t xml:space="preserve">Historical Evidence:</w:t>
      </w:r>
      <w:r w:rsidDel="00000000" w:rsidR="00000000" w:rsidRPr="00000000">
        <w:rPr>
          <w:color w:val="1f1f1f"/>
          <w:rtl w:val="0"/>
        </w:rPr>
        <w:t xml:space="preserve"> During the 2022 "inflation shock" and the 2024 banking tremors, portfolios with at least 5% gold saw significantly lower drawdowns than the traditional 60/40 stock-bond mix.</w:t>
      </w:r>
    </w:p>
    <w:p w:rsidR="00000000" w:rsidDel="00000000" w:rsidP="00000000" w:rsidRDefault="00000000" w:rsidRPr="00000000" w14:paraId="00000009">
      <w:pPr>
        <w:numPr>
          <w:ilvl w:val="0"/>
          <w:numId w:val="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bCs w:val="1"/>
          <w:color w:val="1f1f1f"/>
          <w:rtl w:val="0"/>
        </w:rPr>
        <w:t xml:space="preserve">Best For:</w:t>
      </w:r>
      <w:r w:rsidDel="00000000" w:rsidR="00000000" w:rsidRPr="00000000">
        <w:rPr>
          <w:color w:val="1f1f1f"/>
          <w:rtl w:val="0"/>
        </w:rPr>
        <w:t xml:space="preserve"> Long-term investors who want protection without sacrificing significant growth potential.</w:t>
      </w:r>
    </w:p>
    <w:p w:rsidR="00000000" w:rsidDel="00000000" w:rsidP="00000000" w:rsidRDefault="00000000" w:rsidRPr="00000000" w14:paraId="0000000A">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gluskgyrjkl8" w:id="2"/>
      <w:bookmarkEnd w:id="2"/>
      <w:r w:rsidDel="00000000" w:rsidR="00000000" w:rsidRPr="00000000">
        <w:rPr>
          <w:b w:val="1"/>
          <w:bCs w:val="1"/>
          <w:color w:val="1f1f1f"/>
          <w:sz w:val="26"/>
          <w:szCs w:val="26"/>
          <w:rtl w:val="0"/>
        </w:rPr>
        <w:t xml:space="preserve">2. The "Crisis Proof" Model: 10% to 15% Allocation</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In 2026, a growing number of institutional strategists are advocating for a double-digit gold allocation. This "Modern Portfolio" approach acknowledges that bonds no longer provide the same diversification benefit they once did.</w:t>
      </w:r>
    </w:p>
    <w:p w:rsidR="00000000" w:rsidDel="00000000" w:rsidP="00000000" w:rsidRDefault="00000000" w:rsidRPr="00000000" w14:paraId="0000000C">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bCs w:val="1"/>
          <w:color w:val="1f1f1f"/>
          <w:rtl w:val="0"/>
        </w:rPr>
        <w:t xml:space="preserve">The Logic:</w:t>
      </w:r>
      <w:r w:rsidDel="00000000" w:rsidR="00000000" w:rsidRPr="00000000">
        <w:rPr>
          <w:color w:val="1f1f1f"/>
          <w:rtl w:val="0"/>
        </w:rPr>
        <w:t xml:space="preserve"> When stocks and bonds move in the same direction (down), you need an asset that is "orthogonal"—meaning it moves on an entirely different set of drivers.</w:t>
      </w:r>
    </w:p>
    <w:p w:rsidR="00000000" w:rsidDel="00000000" w:rsidP="00000000" w:rsidRDefault="00000000" w:rsidRPr="00000000" w14:paraId="0000000D">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bCs w:val="1"/>
          <w:color w:val="1f1f1f"/>
          <w:rtl w:val="0"/>
        </w:rPr>
        <w:t xml:space="preserve">Historical Evidence:</w:t>
      </w:r>
      <w:r w:rsidDel="00000000" w:rsidR="00000000" w:rsidRPr="00000000">
        <w:rPr>
          <w:color w:val="1f1f1f"/>
          <w:rtl w:val="0"/>
        </w:rPr>
        <w:t xml:space="preserve"> Research from 2000 to 2025 shows that a 10% gold allocation would have increased a portfolio’s </w:t>
      </w:r>
      <w:r w:rsidDel="00000000" w:rsidR="00000000" w:rsidRPr="00000000">
        <w:rPr>
          <w:b w:val="1"/>
          <w:bCs w:val="1"/>
          <w:color w:val="1f1f1f"/>
          <w:rtl w:val="0"/>
        </w:rPr>
        <w:t xml:space="preserve">Sharpe Ratio</w:t>
      </w:r>
      <w:r w:rsidDel="00000000" w:rsidR="00000000" w:rsidRPr="00000000">
        <w:rPr>
          <w:color w:val="1f1f1f"/>
          <w:rtl w:val="0"/>
        </w:rPr>
        <w:t xml:space="preserve"> (a measure of risk-adjusted return) compared to a gold-free portfolio.</w:t>
      </w:r>
    </w:p>
    <w:p w:rsidR="00000000" w:rsidDel="00000000" w:rsidP="00000000" w:rsidRDefault="00000000" w:rsidRPr="00000000" w14:paraId="0000000E">
      <w:pPr>
        <w:numPr>
          <w:ilvl w:val="0"/>
          <w:numId w:val="2"/>
        </w:numPr>
        <w:pBdr>
          <w:top w:color="auto" w:space="0" w:sz="0" w:val="none"/>
          <w:bottom w:color="auto" w:space="0" w:sz="0" w:val="none"/>
          <w:right w:color="auto" w:space="0" w:sz="0" w:val="none"/>
          <w:between w:color="auto" w:space="0" w:sz="0" w:val="none"/>
        </w:pBdr>
        <w:spacing w:after="360" w:lineRule="auto"/>
        <w:ind w:left="780" w:hanging="360"/>
      </w:pPr>
      <w:r w:rsidDel="00000000" w:rsidR="00000000" w:rsidRPr="00000000">
        <w:rPr>
          <w:b w:val="1"/>
          <w:bCs w:val="1"/>
          <w:color w:val="1f1f1f"/>
          <w:rtl w:val="0"/>
        </w:rPr>
        <w:t xml:space="preserve">Best For:</w:t>
      </w:r>
      <w:r w:rsidDel="00000000" w:rsidR="00000000" w:rsidRPr="00000000">
        <w:rPr>
          <w:color w:val="1f1f1f"/>
          <w:rtl w:val="0"/>
        </w:rPr>
        <w:t xml:space="preserve"> Investors concerned about sovereign debt levels, persistent inflation, or geopolitical instability.</w:t>
      </w:r>
    </w:p>
    <w:p w:rsidR="00000000" w:rsidDel="00000000" w:rsidP="00000000" w:rsidRDefault="00000000" w:rsidRPr="00000000" w14:paraId="0000000F">
      <w:pPr>
        <w:rPr>
          <w:color w:val="1f1f1f"/>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n4ok5dt2v2mt" w:id="3"/>
      <w:bookmarkEnd w:id="3"/>
      <w:r w:rsidDel="00000000" w:rsidR="00000000" w:rsidRPr="00000000">
        <w:rPr>
          <w:b w:val="1"/>
          <w:bCs w:val="1"/>
          <w:color w:val="1f1f1f"/>
          <w:sz w:val="26"/>
          <w:szCs w:val="26"/>
          <w:rtl w:val="0"/>
        </w:rPr>
        <w:t xml:space="preserve">3. The "Permanent Portfolio": 25% Allocation</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Pioneered by Harry Browne in the 1980s, the </w:t>
      </w:r>
      <w:r w:rsidDel="00000000" w:rsidR="00000000" w:rsidRPr="00000000">
        <w:rPr>
          <w:b w:val="1"/>
          <w:bCs w:val="1"/>
          <w:color w:val="1f1f1f"/>
          <w:rtl w:val="0"/>
        </w:rPr>
        <w:t xml:space="preserve">Permanent Portfolio</w:t>
      </w:r>
      <w:r w:rsidDel="00000000" w:rsidR="00000000" w:rsidRPr="00000000">
        <w:rPr>
          <w:color w:val="1f1f1f"/>
          <w:rtl w:val="0"/>
        </w:rPr>
        <w:t xml:space="preserve"> splits assets equally: 25% Stocks, 25% Long-term Bonds, 25% Cash, and </w:t>
      </w:r>
      <w:r w:rsidDel="00000000" w:rsidR="00000000" w:rsidRPr="00000000">
        <w:rPr>
          <w:b w:val="1"/>
          <w:bCs w:val="1"/>
          <w:color w:val="1f1f1f"/>
          <w:rtl w:val="0"/>
        </w:rPr>
        <w:t xml:space="preserve">25% Gold</w:t>
      </w:r>
      <w:r w:rsidDel="00000000" w:rsidR="00000000" w:rsidRPr="00000000">
        <w:rPr>
          <w:color w:val="1f1f1f"/>
          <w:rtl w:val="0"/>
        </w:rPr>
        <w:t xml:space="preserve">.</w:t>
      </w:r>
    </w:p>
    <w:p w:rsidR="00000000" w:rsidDel="00000000" w:rsidP="00000000" w:rsidRDefault="00000000" w:rsidRPr="00000000" w14:paraId="00000012">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bCs w:val="1"/>
          <w:color w:val="1f1f1f"/>
          <w:rtl w:val="0"/>
        </w:rPr>
        <w:t xml:space="preserve">The Logic:</w:t>
      </w:r>
      <w:r w:rsidDel="00000000" w:rsidR="00000000" w:rsidRPr="00000000">
        <w:rPr>
          <w:color w:val="1f1f1f"/>
          <w:rtl w:val="0"/>
        </w:rPr>
        <w:t xml:space="preserve"> This strategy assumes we can never predict the future. Since gold thrives in "inflationary" and "chaotic" seasons, it is given equal weight to assets that thrive in "growth" (stocks) or "deflation" (bonds).</w:t>
      </w:r>
    </w:p>
    <w:p w:rsidR="00000000" w:rsidDel="00000000" w:rsidP="00000000" w:rsidRDefault="00000000" w:rsidRPr="00000000" w14:paraId="00000013">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bCs w:val="1"/>
          <w:color w:val="1f1f1f"/>
          <w:rtl w:val="0"/>
        </w:rPr>
        <w:t xml:space="preserve">Historical Evidence:</w:t>
      </w:r>
      <w:r w:rsidDel="00000000" w:rsidR="00000000" w:rsidRPr="00000000">
        <w:rPr>
          <w:color w:val="1f1f1f"/>
          <w:rtl w:val="0"/>
        </w:rPr>
        <w:t xml:space="preserve"> This is one of the most stable portfolios in history. Over the last 50 years, it has rarely seen a double-digit loss in a single year, even during the 2008 financial crisis or the 2020 pandemic.</w:t>
      </w:r>
    </w:p>
    <w:p w:rsidR="00000000" w:rsidDel="00000000" w:rsidP="00000000" w:rsidRDefault="00000000" w:rsidRPr="00000000" w14:paraId="00000014">
      <w:pPr>
        <w:numPr>
          <w:ilvl w:val="0"/>
          <w:numId w:val="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bCs w:val="1"/>
          <w:color w:val="1f1f1f"/>
          <w:rtl w:val="0"/>
        </w:rPr>
        <w:t xml:space="preserve">Best For:</w:t>
      </w:r>
      <w:r w:rsidDel="00000000" w:rsidR="00000000" w:rsidRPr="00000000">
        <w:rPr>
          <w:color w:val="1f1f1f"/>
          <w:rtl w:val="0"/>
        </w:rPr>
        <w:t xml:space="preserve"> Retirees or ultra-conservative investors whose primary goal is </w:t>
      </w:r>
      <w:r w:rsidDel="00000000" w:rsidR="00000000" w:rsidRPr="00000000">
        <w:rPr>
          <w:b w:val="1"/>
          <w:bCs w:val="1"/>
          <w:color w:val="1f1f1f"/>
          <w:rtl w:val="0"/>
        </w:rPr>
        <w:t xml:space="preserve">wealth preservation</w:t>
      </w:r>
      <w:r w:rsidDel="00000000" w:rsidR="00000000" w:rsidRPr="00000000">
        <w:rPr>
          <w:color w:val="1f1f1f"/>
          <w:rtl w:val="0"/>
        </w:rPr>
        <w:t xml:space="preserve"> rather than accumulation.</w:t>
      </w:r>
    </w:p>
    <w:p w:rsidR="00000000" w:rsidDel="00000000" w:rsidP="00000000" w:rsidRDefault="00000000" w:rsidRPr="00000000" w14:paraId="00000015">
      <w:pPr>
        <w:rPr>
          <w:color w:val="1f1f1f"/>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en5xwmhoa2cz" w:id="4"/>
      <w:bookmarkEnd w:id="4"/>
      <w:r w:rsidDel="00000000" w:rsidR="00000000" w:rsidRPr="00000000">
        <w:rPr>
          <w:b w:val="1"/>
          <w:bCs w:val="1"/>
          <w:color w:val="1f1f1f"/>
          <w:sz w:val="26"/>
          <w:szCs w:val="26"/>
          <w:rtl w:val="0"/>
        </w:rPr>
        <w:t xml:space="preserve">Gold Allocations at a Glance (2026 Perspective)</w:t>
      </w:r>
    </w:p>
    <w:tbl>
      <w:tblPr>
        <w:tblStyle w:val="Table1"/>
        <w:tblW w:w="88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0"/>
        <w:gridCol w:w="1425"/>
        <w:gridCol w:w="2850"/>
        <w:gridCol w:w="2850"/>
        <w:tblGridChange w:id="0">
          <w:tblGrid>
            <w:gridCol w:w="1710"/>
            <w:gridCol w:w="1425"/>
            <w:gridCol w:w="2850"/>
            <w:gridCol w:w="2850"/>
          </w:tblGrid>
        </w:tblGridChange>
      </w:tblGrid>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7">
            <w:pPr>
              <w:spacing w:after="480" w:lineRule="auto"/>
              <w:rPr>
                <w:color w:val="1f1f1f"/>
              </w:rPr>
            </w:pPr>
            <w:r w:rsidDel="00000000" w:rsidR="00000000" w:rsidRPr="00000000">
              <w:rPr>
                <w:b w:val="1"/>
                <w:bCs w:val="1"/>
                <w:color w:val="1f1f1f"/>
                <w:rtl w:val="0"/>
              </w:rPr>
              <w:t xml:space="preserve">Strategy</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8">
            <w:pPr>
              <w:spacing w:after="480" w:lineRule="auto"/>
              <w:rPr>
                <w:color w:val="1f1f1f"/>
              </w:rPr>
            </w:pPr>
            <w:r w:rsidDel="00000000" w:rsidR="00000000" w:rsidRPr="00000000">
              <w:rPr>
                <w:b w:val="1"/>
                <w:bCs w:val="1"/>
                <w:color w:val="1f1f1f"/>
                <w:rtl w:val="0"/>
              </w:rPr>
              <w:t xml:space="preserve">Gold %</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9">
            <w:pPr>
              <w:spacing w:after="480" w:lineRule="auto"/>
              <w:rPr>
                <w:color w:val="1f1f1f"/>
              </w:rPr>
            </w:pPr>
            <w:r w:rsidDel="00000000" w:rsidR="00000000" w:rsidRPr="00000000">
              <w:rPr>
                <w:b w:val="1"/>
                <w:bCs w:val="1"/>
                <w:color w:val="1f1f1f"/>
                <w:rtl w:val="0"/>
              </w:rPr>
              <w:t xml:space="preserve">Primary Goal</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1A">
            <w:pPr>
              <w:spacing w:after="480" w:lineRule="auto"/>
              <w:rPr>
                <w:color w:val="1f1f1f"/>
              </w:rPr>
            </w:pPr>
            <w:r w:rsidDel="00000000" w:rsidR="00000000" w:rsidRPr="00000000">
              <w:rPr>
                <w:b w:val="1"/>
                <w:bCs w:val="1"/>
                <w:color w:val="1f1f1f"/>
                <w:rtl w:val="0"/>
              </w:rPr>
              <w:t xml:space="preserve">Historical Vibe</w:t>
            </w:r>
            <w:r w:rsidDel="00000000" w:rsidR="00000000" w:rsidRPr="00000000">
              <w:rPr>
                <w:rtl w:val="0"/>
              </w:rPr>
            </w:r>
          </w:p>
        </w:tc>
      </w:tr>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B">
            <w:pPr>
              <w:spacing w:after="480" w:lineRule="auto"/>
              <w:rPr>
                <w:color w:val="1f1f1f"/>
              </w:rPr>
            </w:pPr>
            <w:r w:rsidDel="00000000" w:rsidR="00000000" w:rsidRPr="00000000">
              <w:rPr>
                <w:b w:val="1"/>
                <w:bCs w:val="1"/>
                <w:color w:val="1f1f1f"/>
                <w:rtl w:val="0"/>
              </w:rPr>
              <w:t xml:space="preserve">Conservative</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C">
            <w:pPr>
              <w:spacing w:after="480" w:lineRule="auto"/>
              <w:rPr>
                <w:color w:val="1f1f1f"/>
              </w:rPr>
            </w:pPr>
            <w:r w:rsidDel="00000000" w:rsidR="00000000" w:rsidRPr="00000000">
              <w:rPr>
                <w:color w:val="1f1f1f"/>
                <w:rtl w:val="0"/>
              </w:rPr>
              <w:t xml:space="preserve">2% – 5%</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D">
            <w:pPr>
              <w:spacing w:after="480" w:lineRule="auto"/>
              <w:rPr>
                <w:color w:val="1f1f1f"/>
              </w:rPr>
            </w:pPr>
            <w:r w:rsidDel="00000000" w:rsidR="00000000" w:rsidRPr="00000000">
              <w:rPr>
                <w:color w:val="1f1f1f"/>
                <w:rtl w:val="0"/>
              </w:rPr>
              <w:t xml:space="preserve">Minor Diversification</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1E">
            <w:pPr>
              <w:spacing w:after="480" w:lineRule="auto"/>
              <w:rPr>
                <w:color w:val="1f1f1f"/>
              </w:rPr>
            </w:pPr>
            <w:r w:rsidDel="00000000" w:rsidR="00000000" w:rsidRPr="00000000">
              <w:rPr>
                <w:color w:val="1f1f1f"/>
                <w:rtl w:val="0"/>
              </w:rPr>
              <w:t xml:space="preserve">"Just a little insurance."</w:t>
            </w:r>
          </w:p>
        </w:tc>
      </w:tr>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F">
            <w:pPr>
              <w:spacing w:after="480" w:lineRule="auto"/>
              <w:rPr>
                <w:color w:val="1f1f1f"/>
              </w:rPr>
            </w:pPr>
            <w:r w:rsidDel="00000000" w:rsidR="00000000" w:rsidRPr="00000000">
              <w:rPr>
                <w:b w:val="1"/>
                <w:bCs w:val="1"/>
                <w:color w:val="1f1f1f"/>
                <w:rtl w:val="0"/>
              </w:rPr>
              <w:t xml:space="preserve">All-Weather</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0">
            <w:pPr>
              <w:spacing w:after="480" w:lineRule="auto"/>
              <w:rPr>
                <w:color w:val="1f1f1f"/>
              </w:rPr>
            </w:pPr>
            <w:r w:rsidDel="00000000" w:rsidR="00000000" w:rsidRPr="00000000">
              <w:rPr>
                <w:color w:val="1f1f1f"/>
                <w:rtl w:val="0"/>
              </w:rPr>
              <w:t xml:space="preserve">7.5%</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1">
            <w:pPr>
              <w:spacing w:after="480" w:lineRule="auto"/>
              <w:rPr>
                <w:color w:val="1f1f1f"/>
              </w:rPr>
            </w:pPr>
            <w:r w:rsidDel="00000000" w:rsidR="00000000" w:rsidRPr="00000000">
              <w:rPr>
                <w:color w:val="1f1f1f"/>
                <w:rtl w:val="0"/>
              </w:rPr>
              <w:t xml:space="preserve">Risk Parity</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22">
            <w:pPr>
              <w:spacing w:after="480" w:lineRule="auto"/>
              <w:rPr>
                <w:color w:val="1f1f1f"/>
              </w:rPr>
            </w:pPr>
            <w:r w:rsidDel="00000000" w:rsidR="00000000" w:rsidRPr="00000000">
              <w:rPr>
                <w:color w:val="1f1f1f"/>
                <w:rtl w:val="0"/>
              </w:rPr>
              <w:t xml:space="preserve">"Balance in all seasons."</w:t>
            </w:r>
          </w:p>
        </w:tc>
      </w:tr>
      <w:tr>
        <w:trPr>
          <w:cantSplit w:val="0"/>
          <w:trHeight w:val="105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3">
            <w:pPr>
              <w:spacing w:after="480" w:lineRule="auto"/>
              <w:rPr>
                <w:color w:val="1f1f1f"/>
              </w:rPr>
            </w:pPr>
            <w:r w:rsidDel="00000000" w:rsidR="00000000" w:rsidRPr="00000000">
              <w:rPr>
                <w:b w:val="1"/>
                <w:bCs w:val="1"/>
                <w:color w:val="1f1f1f"/>
                <w:rtl w:val="0"/>
              </w:rPr>
              <w:t xml:space="preserve">Strategic</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4">
            <w:pPr>
              <w:spacing w:after="480" w:lineRule="auto"/>
              <w:rPr>
                <w:color w:val="1f1f1f"/>
              </w:rPr>
            </w:pPr>
            <w:r w:rsidDel="00000000" w:rsidR="00000000" w:rsidRPr="00000000">
              <w:rPr>
                <w:color w:val="1f1f1f"/>
                <w:rtl w:val="0"/>
              </w:rPr>
              <w:t xml:space="preserve">10% – 15%</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5">
            <w:pPr>
              <w:spacing w:after="480" w:lineRule="auto"/>
              <w:rPr>
                <w:color w:val="1f1f1f"/>
              </w:rPr>
            </w:pPr>
            <w:r w:rsidDel="00000000" w:rsidR="00000000" w:rsidRPr="00000000">
              <w:rPr>
                <w:color w:val="1f1f1f"/>
                <w:rtl w:val="0"/>
              </w:rPr>
              <w:t xml:space="preserve">Inflation/Systemic Hedge</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26">
            <w:pPr>
              <w:spacing w:after="480" w:lineRule="auto"/>
              <w:rPr>
                <w:color w:val="1f1f1f"/>
              </w:rPr>
            </w:pPr>
            <w:r w:rsidDel="00000000" w:rsidR="00000000" w:rsidRPr="00000000">
              <w:rPr>
                <w:color w:val="1f1f1f"/>
                <w:rtl w:val="0"/>
              </w:rPr>
              <w:t xml:space="preserve">"The bond-alternative era."</w:t>
            </w:r>
          </w:p>
        </w:tc>
      </w:tr>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7">
            <w:pPr>
              <w:spacing w:after="480" w:lineRule="auto"/>
              <w:rPr>
                <w:color w:val="1f1f1f"/>
              </w:rPr>
            </w:pPr>
            <w:r w:rsidDel="00000000" w:rsidR="00000000" w:rsidRPr="00000000">
              <w:rPr>
                <w:b w:val="1"/>
                <w:bCs w:val="1"/>
                <w:color w:val="1f1f1f"/>
                <w:rtl w:val="0"/>
              </w:rPr>
              <w:t xml:space="preserve">Permanent</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8">
            <w:pPr>
              <w:spacing w:after="480" w:lineRule="auto"/>
              <w:rPr>
                <w:color w:val="1f1f1f"/>
              </w:rPr>
            </w:pPr>
            <w:r w:rsidDel="00000000" w:rsidR="00000000" w:rsidRPr="00000000">
              <w:rPr>
                <w:color w:val="1f1f1f"/>
                <w:rtl w:val="0"/>
              </w:rPr>
              <w:t xml:space="preserve">25%</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9">
            <w:pPr>
              <w:spacing w:after="480" w:lineRule="auto"/>
              <w:rPr>
                <w:color w:val="1f1f1f"/>
              </w:rPr>
            </w:pPr>
            <w:r w:rsidDel="00000000" w:rsidR="00000000" w:rsidRPr="00000000">
              <w:rPr>
                <w:color w:val="1f1f1f"/>
                <w:rtl w:val="0"/>
              </w:rPr>
              <w:t xml:space="preserve">Survival/Absolute Safety</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2A">
            <w:pPr>
              <w:spacing w:after="480" w:lineRule="auto"/>
              <w:rPr>
                <w:color w:val="1f1f1f"/>
              </w:rPr>
            </w:pPr>
            <w:r w:rsidDel="00000000" w:rsidR="00000000" w:rsidRPr="00000000">
              <w:rPr>
                <w:color w:val="1f1f1f"/>
                <w:rtl w:val="0"/>
              </w:rPr>
              <w:t xml:space="preserve">"Prepare for anything."</w:t>
            </w:r>
          </w:p>
        </w:tc>
      </w:tr>
    </w:tbl>
    <w:p w:rsidR="00000000" w:rsidDel="00000000" w:rsidP="00000000" w:rsidRDefault="00000000" w:rsidRPr="00000000" w14:paraId="0000002B">
      <w:pPr>
        <w:rPr>
          <w:color w:val="1f1f1f"/>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x2d31bwkdzev" w:id="5"/>
      <w:bookmarkEnd w:id="5"/>
      <w:r w:rsidDel="00000000" w:rsidR="00000000" w:rsidRPr="00000000">
        <w:rPr>
          <w:b w:val="1"/>
          <w:bCs w:val="1"/>
          <w:color w:val="1f1f1f"/>
          <w:sz w:val="26"/>
          <w:szCs w:val="26"/>
          <w:rtl w:val="0"/>
        </w:rPr>
        <w:t xml:space="preserve">The 2026 Rebalancing Signal</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History teaches us that the </w:t>
      </w:r>
      <w:r w:rsidDel="00000000" w:rsidR="00000000" w:rsidRPr="00000000">
        <w:rPr>
          <w:i w:val="1"/>
          <w:iCs w:val="1"/>
          <w:color w:val="1f1f1f"/>
          <w:rtl w:val="0"/>
        </w:rPr>
        <w:t xml:space="preserve">amount</w:t>
      </w:r>
      <w:r w:rsidDel="00000000" w:rsidR="00000000" w:rsidRPr="00000000">
        <w:rPr>
          <w:color w:val="1f1f1f"/>
          <w:rtl w:val="0"/>
        </w:rPr>
        <w:t xml:space="preserve"> of gold you own is less important than your </w:t>
      </w:r>
      <w:r w:rsidDel="00000000" w:rsidR="00000000" w:rsidRPr="00000000">
        <w:rPr>
          <w:b w:val="1"/>
          <w:bCs w:val="1"/>
          <w:color w:val="1f1f1f"/>
          <w:rtl w:val="0"/>
        </w:rPr>
        <w:t xml:space="preserve">discipline in rebalancing</w:t>
      </w:r>
      <w:r w:rsidDel="00000000" w:rsidR="00000000" w:rsidRPr="00000000">
        <w:rPr>
          <w:color w:val="1f1f1f"/>
          <w:rtl w:val="0"/>
        </w:rPr>
        <w:t xml:space="preserve">. Because gold is currently trading near historical highs of </w:t>
      </w:r>
      <w:r w:rsidDel="00000000" w:rsidR="00000000" w:rsidRPr="00000000">
        <w:rPr>
          <w:b w:val="1"/>
          <w:bCs w:val="1"/>
          <w:color w:val="1f1f1f"/>
          <w:rtl w:val="0"/>
        </w:rPr>
        <w:t xml:space="preserve">$4,800</w:t>
      </w:r>
      <w:r w:rsidDel="00000000" w:rsidR="00000000" w:rsidRPr="00000000">
        <w:rPr>
          <w:color w:val="1f1f1f"/>
          <w:rtl w:val="0"/>
        </w:rPr>
        <w:t xml:space="preserve">, many portfolios that started with 5% gold may now find that gold makes up 10% or 12% of their total value due to price appreciation.</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b w:val="1"/>
          <w:bCs w:val="1"/>
          <w:color w:val="1f1f1f"/>
          <w:rtl w:val="0"/>
        </w:rPr>
        <w:t xml:space="preserve">The Smart Move:</w:t>
      </w:r>
      <w:r w:rsidDel="00000000" w:rsidR="00000000" w:rsidRPr="00000000">
        <w:rPr>
          <w:color w:val="1f1f1f"/>
          <w:rtl w:val="0"/>
        </w:rPr>
        <w:t xml:space="preserve"> History suggests "selling into strength." If your gold allocation has drifted significantly above your target, 2026 is an ideal time to trim your gold holdings and reinvest in undervalued areas of the market.</w:t>
      </w:r>
    </w:p>
    <w:p w:rsidR="00000000" w:rsidDel="00000000" w:rsidP="00000000" w:rsidRDefault="00000000" w:rsidRPr="00000000" w14:paraId="0000002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88hbaw8xwzld" w:id="6"/>
      <w:bookmarkEnd w:id="6"/>
      <w:r w:rsidDel="00000000" w:rsidR="00000000" w:rsidRPr="00000000">
        <w:rPr>
          <w:b w:val="1"/>
          <w:bCs w:val="1"/>
          <w:color w:val="1f1f1f"/>
          <w:sz w:val="26"/>
          <w:szCs w:val="26"/>
          <w:rtl w:val="0"/>
        </w:rPr>
        <w:t xml:space="preserve">Final Thought</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There is no "magic number" that fits everyone. However, if your gold allocation is </w:t>
      </w:r>
      <w:r w:rsidDel="00000000" w:rsidR="00000000" w:rsidRPr="00000000">
        <w:rPr>
          <w:b w:val="1"/>
          <w:bCs w:val="1"/>
          <w:color w:val="1f1f1f"/>
          <w:rtl w:val="0"/>
        </w:rPr>
        <w:t xml:space="preserve">0%</w:t>
      </w:r>
      <w:r w:rsidDel="00000000" w:rsidR="00000000" w:rsidRPr="00000000">
        <w:rPr>
          <w:color w:val="1f1f1f"/>
          <w:rtl w:val="0"/>
        </w:rPr>
        <w:t xml:space="preserve">, history suggests you are carrying more systemic risk than you realize. If it is over </w:t>
      </w:r>
      <w:r w:rsidDel="00000000" w:rsidR="00000000" w:rsidRPr="00000000">
        <w:rPr>
          <w:b w:val="1"/>
          <w:bCs w:val="1"/>
          <w:color w:val="1f1f1f"/>
          <w:rtl w:val="0"/>
        </w:rPr>
        <w:t xml:space="preserve">30%</w:t>
      </w:r>
      <w:r w:rsidDel="00000000" w:rsidR="00000000" w:rsidRPr="00000000">
        <w:rPr>
          <w:color w:val="1f1f1f"/>
          <w:rtl w:val="0"/>
        </w:rPr>
        <w:t xml:space="preserve">, you are betting against human ingenuity and economic growth. For most, the "sweet spot" remains between </w:t>
      </w:r>
      <w:r w:rsidDel="00000000" w:rsidR="00000000" w:rsidRPr="00000000">
        <w:rPr>
          <w:b w:val="1"/>
          <w:bCs w:val="1"/>
          <w:color w:val="1f1f1f"/>
          <w:rtl w:val="0"/>
        </w:rPr>
        <w:t xml:space="preserve">5% and 15%</w:t>
      </w:r>
      <w:r w:rsidDel="00000000" w:rsidR="00000000" w:rsidRPr="00000000">
        <w:rPr>
          <w:color w:val="1f1f1f"/>
          <w:rtl w:val="0"/>
        </w:rPr>
        <w:t xml:space="preserve">—a range that has stood the test of time, inflation, and war.</w:t>
      </w:r>
    </w:p>
    <w:p w:rsidR="00000000" w:rsidDel="00000000" w:rsidP="00000000" w:rsidRDefault="00000000" w:rsidRPr="00000000" w14:paraId="0000003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